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021" w:rsidRDefault="00662021" w:rsidP="00662021">
      <w:pPr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 xml:space="preserve">Diffusion and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GB"/>
        </w:rPr>
        <w:t>thermochronology</w:t>
      </w:r>
      <w:proofErr w:type="spellEnd"/>
      <w:r>
        <w:rPr>
          <w:rFonts w:ascii="Arial" w:hAnsi="Arial" w:cs="Arial"/>
          <w:b/>
          <w:bCs/>
          <w:sz w:val="28"/>
          <w:szCs w:val="28"/>
          <w:lang w:val="en-GB"/>
        </w:rPr>
        <w:t>: Theory and geological reality</w:t>
      </w:r>
    </w:p>
    <w:p w:rsidR="00662021" w:rsidRDefault="00662021" w:rsidP="00662021">
      <w:pPr>
        <w:rPr>
          <w:rFonts w:ascii="Arial" w:hAnsi="Arial" w:cs="Arial"/>
          <w:b/>
          <w:bCs/>
          <w:sz w:val="28"/>
          <w:szCs w:val="28"/>
          <w:lang w:val="en-GB"/>
        </w:rPr>
      </w:pPr>
    </w:p>
    <w:p w:rsidR="00662021" w:rsidRDefault="00662021" w:rsidP="00662021">
      <w:pPr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lang w:val="en-GB"/>
        </w:rPr>
        <w:t>Dr Clare Warren, Open University</w:t>
      </w:r>
    </w:p>
    <w:p w:rsidR="00662021" w:rsidRDefault="00662021" w:rsidP="00662021">
      <w:pPr>
        <w:rPr>
          <w:rFonts w:ascii="Arial" w:hAnsi="Arial" w:cs="Arial"/>
          <w:lang w:val="en-GB"/>
        </w:rPr>
      </w:pPr>
    </w:p>
    <w:p w:rsidR="00662021" w:rsidRDefault="00662021" w:rsidP="0066202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rates and timescales over which plates interact during subduction or collision provides constraints on the mechanisms by which crust is buried, transformed, deformed and recycled.  </w:t>
      </w:r>
    </w:p>
    <w:p w:rsidR="00662021" w:rsidRDefault="00662021" w:rsidP="00662021">
      <w:pPr>
        <w:rPr>
          <w:rFonts w:ascii="Arial" w:hAnsi="Arial" w:cs="Arial"/>
          <w:lang w:val="en-GB"/>
        </w:rPr>
      </w:pPr>
    </w:p>
    <w:p w:rsidR="00662021" w:rsidRDefault="00662021" w:rsidP="0066202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Precise and accurate measurement of isotope ratios in </w:t>
      </w:r>
      <w:proofErr w:type="spellStart"/>
      <w:r>
        <w:rPr>
          <w:rFonts w:ascii="Arial" w:hAnsi="Arial" w:cs="Arial"/>
          <w:lang w:val="en-GB"/>
        </w:rPr>
        <w:t>geochronometer</w:t>
      </w:r>
      <w:proofErr w:type="spellEnd"/>
      <w:r>
        <w:rPr>
          <w:rFonts w:ascii="Arial" w:hAnsi="Arial" w:cs="Arial"/>
          <w:lang w:val="en-GB"/>
        </w:rPr>
        <w:t xml:space="preserve"> and </w:t>
      </w:r>
      <w:proofErr w:type="spellStart"/>
      <w:r>
        <w:rPr>
          <w:rFonts w:ascii="Arial" w:hAnsi="Arial" w:cs="Arial"/>
          <w:lang w:val="en-GB"/>
        </w:rPr>
        <w:t>thermochronometer</w:t>
      </w:r>
      <w:proofErr w:type="spellEnd"/>
      <w:r>
        <w:rPr>
          <w:rFonts w:ascii="Arial" w:hAnsi="Arial" w:cs="Arial"/>
          <w:lang w:val="en-GB"/>
        </w:rPr>
        <w:t xml:space="preserve"> minerals is now routine.  We traditionally interpret “dates” yielded by </w:t>
      </w:r>
      <w:proofErr w:type="spellStart"/>
      <w:r>
        <w:rPr>
          <w:rFonts w:ascii="Arial" w:hAnsi="Arial" w:cs="Arial"/>
          <w:lang w:val="en-GB"/>
        </w:rPr>
        <w:t>thermochronometers</w:t>
      </w:r>
      <w:proofErr w:type="spellEnd"/>
      <w:r>
        <w:rPr>
          <w:rFonts w:ascii="Arial" w:hAnsi="Arial" w:cs="Arial"/>
          <w:lang w:val="en-GB"/>
        </w:rPr>
        <w:t xml:space="preserve"> such as </w:t>
      </w:r>
      <w:r>
        <w:rPr>
          <w:rFonts w:ascii="Arial" w:hAnsi="Arial" w:cs="Arial"/>
          <w:vertAlign w:val="superscript"/>
          <w:lang w:val="en-GB"/>
        </w:rPr>
        <w:t>40</w:t>
      </w:r>
      <w:r>
        <w:rPr>
          <w:rFonts w:ascii="Arial" w:hAnsi="Arial" w:cs="Arial"/>
          <w:lang w:val="en-GB"/>
        </w:rPr>
        <w:t>Ar/</w:t>
      </w:r>
      <w:r>
        <w:rPr>
          <w:rFonts w:ascii="Arial" w:hAnsi="Arial" w:cs="Arial"/>
          <w:vertAlign w:val="superscript"/>
          <w:lang w:val="en-GB"/>
        </w:rPr>
        <w:t>39</w:t>
      </w:r>
      <w:r>
        <w:rPr>
          <w:rFonts w:ascii="Arial" w:hAnsi="Arial" w:cs="Arial"/>
          <w:lang w:val="en-GB"/>
        </w:rPr>
        <w:t xml:space="preserve">Ar as recording cooling.  But other processes such as deformation, fluid flow or recrystallization can also affect when the </w:t>
      </w:r>
      <w:proofErr w:type="spellStart"/>
      <w:r>
        <w:rPr>
          <w:rFonts w:ascii="Arial" w:hAnsi="Arial" w:cs="Arial"/>
          <w:lang w:val="en-GB"/>
        </w:rPr>
        <w:t>Ar</w:t>
      </w:r>
      <w:proofErr w:type="spellEnd"/>
      <w:r>
        <w:rPr>
          <w:rFonts w:ascii="Arial" w:hAnsi="Arial" w:cs="Arial"/>
          <w:lang w:val="en-GB"/>
        </w:rPr>
        <w:t>/</w:t>
      </w:r>
      <w:proofErr w:type="spellStart"/>
      <w:r>
        <w:rPr>
          <w:rFonts w:ascii="Arial" w:hAnsi="Arial" w:cs="Arial"/>
          <w:lang w:val="en-GB"/>
        </w:rPr>
        <w:t>Ar</w:t>
      </w:r>
      <w:proofErr w:type="spellEnd"/>
      <w:r>
        <w:rPr>
          <w:rFonts w:ascii="Arial" w:hAnsi="Arial" w:cs="Arial"/>
          <w:lang w:val="en-GB"/>
        </w:rPr>
        <w:t xml:space="preserve"> clock started or stopped ticking.  Robust interpretation is hampered by traditional assumptions, especially in metamorphic rocks that have experienced complex and lengthy crystallisation and cooling histories.  </w:t>
      </w:r>
    </w:p>
    <w:p w:rsidR="00662021" w:rsidRDefault="00662021" w:rsidP="00662021">
      <w:pPr>
        <w:rPr>
          <w:rFonts w:ascii="Arial" w:hAnsi="Arial" w:cs="Arial"/>
          <w:lang w:val="en-GB"/>
        </w:rPr>
      </w:pPr>
    </w:p>
    <w:p w:rsidR="00662021" w:rsidRDefault="00662021" w:rsidP="0066202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applicability of these assumptions is testable using (1) modern analytical approaches, (2) chemical and/or textural data that tie the evolution of the </w:t>
      </w:r>
      <w:proofErr w:type="spellStart"/>
      <w:r>
        <w:rPr>
          <w:rFonts w:ascii="Arial" w:hAnsi="Arial" w:cs="Arial"/>
          <w:lang w:val="en-GB"/>
        </w:rPr>
        <w:t>thermochronometer</w:t>
      </w:r>
      <w:proofErr w:type="spellEnd"/>
      <w:r>
        <w:rPr>
          <w:rFonts w:ascii="Arial" w:hAnsi="Arial" w:cs="Arial"/>
          <w:lang w:val="en-GB"/>
        </w:rPr>
        <w:t xml:space="preserve"> mineral to the pressure-temperature-deformation evolution of the rest of the rock, and (3) numerical diffusion models that test “perfect case” closed system simple cooling scenarios. </w:t>
      </w:r>
    </w:p>
    <w:p w:rsidR="00662021" w:rsidRDefault="00662021" w:rsidP="00662021">
      <w:pPr>
        <w:rPr>
          <w:rFonts w:ascii="Arial" w:hAnsi="Arial" w:cs="Arial"/>
          <w:lang w:val="en-GB"/>
        </w:rPr>
      </w:pPr>
    </w:p>
    <w:p w:rsidR="00662021" w:rsidRDefault="00662021" w:rsidP="0066202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Together these approaches allow a range of assumptions to be robustly interrogated, facilitating identification of the processes that affected the rock during its evolution.</w:t>
      </w:r>
    </w:p>
    <w:p w:rsidR="002F3860" w:rsidRDefault="002F3860">
      <w:bookmarkStart w:id="0" w:name="_GoBack"/>
      <w:bookmarkEnd w:id="0"/>
    </w:p>
    <w:sectPr w:rsidR="002F38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21"/>
    <w:rsid w:val="002F3860"/>
    <w:rsid w:val="0066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D757D-2E38-454E-BFE6-2680E08F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021"/>
    <w:pPr>
      <w:spacing w:after="0" w:line="240" w:lineRule="auto"/>
    </w:pPr>
    <w:rPr>
      <w:rFonts w:ascii="Calibri" w:hAnsi="Calibri" w:cs="Calibri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2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Murphy</dc:creator>
  <cp:keywords/>
  <dc:description/>
  <cp:lastModifiedBy>Kevin Murphy</cp:lastModifiedBy>
  <cp:revision>1</cp:revision>
  <dcterms:created xsi:type="dcterms:W3CDTF">2020-10-27T13:53:00Z</dcterms:created>
  <dcterms:modified xsi:type="dcterms:W3CDTF">2020-10-27T13:53:00Z</dcterms:modified>
</cp:coreProperties>
</file>